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1F639DA3"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EB0AE8">
        <w:t>1</w:t>
      </w:r>
      <w:r w:rsidR="005420B4">
        <w:t>.</w:t>
      </w:r>
      <w:r w:rsidR="00F60A53">
        <w:t xml:space="preserve"> </w:t>
      </w:r>
      <w:r w:rsidR="00EB0AE8">
        <w:t>června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39476F2D"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EB0AE8">
        <w:rPr>
          <w:rStyle w:val="normaltextrun"/>
          <w:rFonts w:ascii="Arial" w:hAnsi="Arial" w:cs="Arial"/>
          <w:b/>
          <w:bCs/>
          <w:color w:val="000000"/>
          <w:sz w:val="28"/>
          <w:szCs w:val="28"/>
          <w:lang w:val="cs-CZ"/>
        </w:rPr>
        <w:t>Znovu otevřeno, ale co teď?</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6DF291D2" w:rsidR="006B6F61" w:rsidRDefault="00EB0AE8"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Nejnovější měsíční průzkum analytiků společnosti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 ukazuje pokračující zhoršení manažerského sentimentu, vedené výrazným poklesem u čínských a evropských společností. Zdá se, že čínské znovuotevření trhu uvadá, a i nad evropským makroekonomickým výhledem se stahují mračna.</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203BE51D" w:rsidR="002C5176" w:rsidRDefault="00EB0AE8"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Výsledkům posledního </w:t>
      </w:r>
      <w:r w:rsidRPr="00EB0AE8">
        <w:rPr>
          <w:rFonts w:ascii="Arial" w:hAnsi="Arial" w:cs="Arial"/>
          <w:sz w:val="20"/>
          <w:szCs w:val="20"/>
          <w:lang w:val="cs-CZ" w:eastAsia="cs-CZ"/>
        </w:rPr>
        <w:t xml:space="preserve">měsíčního průzkumu analytiků společnosti </w:t>
      </w:r>
      <w:proofErr w:type="spellStart"/>
      <w:r w:rsidRPr="00EB0AE8">
        <w:rPr>
          <w:rFonts w:ascii="Arial" w:hAnsi="Arial" w:cs="Arial"/>
          <w:sz w:val="20"/>
          <w:szCs w:val="20"/>
          <w:lang w:val="cs-CZ" w:eastAsia="cs-CZ"/>
        </w:rPr>
        <w:t>Fidelity</w:t>
      </w:r>
      <w:proofErr w:type="spellEnd"/>
      <w:r w:rsidRPr="00EB0AE8">
        <w:rPr>
          <w:rFonts w:ascii="Arial" w:hAnsi="Arial" w:cs="Arial"/>
          <w:sz w:val="20"/>
          <w:szCs w:val="20"/>
          <w:lang w:val="cs-CZ" w:eastAsia="cs-CZ"/>
        </w:rPr>
        <w:t xml:space="preserve"> International dominovala řada negativních překvapení jak v Číně, tak i v Evropě, protože celkový globální sentiment se ve srovnání s předchozím měsícem změnil na výrazně negativní.</w:t>
      </w:r>
    </w:p>
    <w:p w14:paraId="5C9D89A8" w14:textId="77777777" w:rsidR="00EB0AE8" w:rsidRPr="00536BBE" w:rsidRDefault="00EB0AE8" w:rsidP="00EB0AE8">
      <w:pPr>
        <w:spacing w:after="210" w:line="276" w:lineRule="auto"/>
      </w:pPr>
      <w:r w:rsidRPr="004561A1">
        <w:t>Náhlý návrat čínské společnosti a podniků k něčemu, co se podobalo normálu, pomohl loni v prosinci vyrovnat medvědí náladu na ostatních trzích z počátku letošního roku a zvýšil hlavní index globálního sentimentu našeho průzkumu, který měří, jak manažeři vidí nadcházející období. Jak však ukazuje graf z minulého týdne, počáteční nadšení v Číně opadlo, přičemž i v Evropě a dalších regionech nálada dále klesala, což globální čísla posunulo hlouběji do záporných hodnot.</w:t>
      </w:r>
    </w:p>
    <w:p w14:paraId="5FA21E5D" w14:textId="77777777" w:rsidR="00EB0AE8" w:rsidRPr="004561A1" w:rsidRDefault="00EB0AE8" w:rsidP="00EB0AE8">
      <w:pPr>
        <w:spacing w:after="210" w:line="276" w:lineRule="auto"/>
      </w:pPr>
      <w:r w:rsidRPr="004561A1">
        <w:t>Sama o sobě jsou čínská data stále pozitivní, ale zlepšení sentimentu se zpomaluje, protože začíná převládat opatrnější tón. „Většina společností je stále optimistická (nebo doufá) v oživení," říká jeden z analytiků zaměřených na Čínu, „ale slyšíme více slov jako 'mírné' a 'postupné' a je více manažerů, který svůj výhled podmiňují tím, jak bude vypadat pokračování oživení." Entusiasmus je víc rozmělněný: „Celkově lze říci, že ačkoli se i nadále objevují známky makroekonomického oživení, je pozvolnější (a méně jednotné), než se doufalo."</w:t>
      </w:r>
    </w:p>
    <w:p w14:paraId="2F4015B0" w14:textId="77777777" w:rsidR="00EB0AE8" w:rsidRPr="004561A1" w:rsidRDefault="00EB0AE8" w:rsidP="00EB0AE8">
      <w:pPr>
        <w:spacing w:after="210" w:line="276" w:lineRule="auto"/>
      </w:pPr>
      <w:r w:rsidRPr="004561A1">
        <w:t>Jeden analytik, který sleduje čínské IT společnosti, rovněž upozorňuje na obtížnější makroprostředí. Říká, že "oživení se netýká jen Číny po lockdownech, ale také makroekonomické situace", a dodává: "V některých odvětvích je tlak na ceny a konkurence se zostřuje."</w:t>
      </w:r>
    </w:p>
    <w:p w14:paraId="63647E5B" w14:textId="77777777" w:rsidR="00EB0AE8" w:rsidRPr="004561A1" w:rsidRDefault="00EB0AE8" w:rsidP="00EB0AE8">
      <w:pPr>
        <w:spacing w:after="210" w:line="276" w:lineRule="auto"/>
      </w:pPr>
      <w:r w:rsidRPr="004561A1">
        <w:t>Globálně, s výjimkou Japonska a regionu EMEA/Latinská Amerika, se sentiment tento měsíc postupně zhoršil. To se shoduje s rostoucími obavami ohledně růstu a pravděpodobnosti recese na Západě, která v uplynulém měsíci zavalila trhy. To nastalo poté, co se v poslední době soustředily na obavy ohledně bankovnictví v USA a Evropě.</w:t>
      </w:r>
    </w:p>
    <w:p w14:paraId="26244BFE" w14:textId="77777777" w:rsidR="00EB0AE8" w:rsidRDefault="00EB0AE8" w:rsidP="00EB0AE8">
      <w:pPr>
        <w:spacing w:line="276" w:lineRule="auto"/>
      </w:pPr>
      <w:r>
        <w:t>Pokud na to nahlížíme sektorově drží se pouze defenzivní sektory, jako je zdravotnictví a utility. Výhled energetických společností se zhoršil v důsledku relativně nízké ceny ropy v letošním roce, což odráží obavy z globální recese (například poptávka po naftě v USA vykazuje známky mírného zmírnění, což odráží slabší čísla indexu nákupních manažerů ve zpracovatelském průmyslu), stejně jako pokles cen plynu v důsledku relativně teplé zimy a snížení rafinérských marží. Materiály se také po bezprostředním růstu po čínském novém roce uklidnily. U finančních společností je situace různorodější: krize regionálních bank se výrazně podepsala na náladě managementu amerických bank, nicméně finanční společnosti v jiných regionech se ukazují jako odolnější.</w:t>
      </w:r>
    </w:p>
    <w:p w14:paraId="2645BE2D" w14:textId="77777777" w:rsidR="00EB0AE8" w:rsidRDefault="00EB0AE8"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55D2C629" w14:textId="59675509" w:rsidR="00102DF4" w:rsidRDefault="00EB0AE8"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sidRPr="004561A1">
        <w:rPr>
          <w:noProof/>
        </w:rPr>
        <w:drawing>
          <wp:inline distT="0" distB="0" distL="0" distR="0" wp14:anchorId="6C360FAF" wp14:editId="2DD5F881">
            <wp:extent cx="5759450" cy="5759450"/>
            <wp:effectExtent l="0" t="0" r="0" b="0"/>
            <wp:docPr id="1384769095" name="Obrázek 2" descr="Reopened for business, but now 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opened for business, but now wh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5ECD161A" w14:textId="77777777" w:rsidR="00EB0AE8" w:rsidRDefault="00EB0AE8"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3FCCB5B9" w14:textId="4D54EF11" w:rsidR="00EB0AE8" w:rsidRDefault="00EB0AE8" w:rsidP="00EB0AE8">
      <w:r>
        <w:t xml:space="preserve">Pozitivní zprávou, jak naznačuje průzkum, je, že nákladová inflace výrazně zpomaluje a náklady nesouvisející s pracovní silou by se pravděpodobně mohly stát deflačními již v červnu nebo červenci. Nižší cena ropy působí napříč podniky, zatímco základní efekt nadsazených cen stanovených v ročních kontraktech v loňském roce výrazně snižuje náklady na ostatní komodity. Dokonce i inflace práce se poněkud snížila a klesla na nejnižší úroveň za poslední dva roky. </w:t>
      </w:r>
    </w:p>
    <w:p w14:paraId="428BE6F2" w14:textId="77777777" w:rsidR="00EB0AE8" w:rsidRDefault="00EB0AE8" w:rsidP="00EB0AE8">
      <w:r>
        <w:t xml:space="preserve">To vše je samozřejmě v souladu s narativem o blížící se recesi a zmírňující se inflaci, což obojí, jak my i většina účastníků trhu říkáme již několik měsíců, by mělo vést k případnému obratu </w:t>
      </w:r>
      <w:proofErr w:type="spellStart"/>
      <w:r>
        <w:t>Fedu</w:t>
      </w:r>
      <w:proofErr w:type="spellEnd"/>
      <w:r>
        <w:t>. Zdá se však nepravděpodobné, že by to samo o sobě trhy zachránilo.</w:t>
      </w:r>
    </w:p>
    <w:p w14:paraId="1E6CAC67" w14:textId="77777777" w:rsidR="00EB0AE8" w:rsidRPr="00EB0AE8" w:rsidRDefault="00EB0AE8" w:rsidP="00EB0AE8">
      <w:pPr>
        <w:pStyle w:val="F2-zkladn"/>
      </w:pPr>
    </w:p>
    <w:p w14:paraId="7B21F70F" w14:textId="77777777" w:rsidR="00EB0AE8" w:rsidRDefault="00EB0AE8" w:rsidP="00627C23">
      <w:pPr>
        <w:spacing w:before="0" w:line="240" w:lineRule="atLeast"/>
        <w:rPr>
          <w:b/>
        </w:rPr>
      </w:pPr>
    </w:p>
    <w:p w14:paraId="3BF03759" w14:textId="77777777" w:rsidR="00EB0AE8" w:rsidRDefault="00EB0AE8" w:rsidP="00627C23">
      <w:pPr>
        <w:spacing w:before="0" w:line="240" w:lineRule="atLeast"/>
        <w:rPr>
          <w:b/>
        </w:rPr>
      </w:pPr>
    </w:p>
    <w:p w14:paraId="476BAE7A" w14:textId="77777777" w:rsidR="00EB0AE8" w:rsidRDefault="00EB0AE8" w:rsidP="00627C23">
      <w:pPr>
        <w:spacing w:before="0" w:line="240" w:lineRule="atLeast"/>
        <w:rPr>
          <w:b/>
        </w:rPr>
      </w:pPr>
    </w:p>
    <w:p w14:paraId="3B45AF67" w14:textId="098827CE" w:rsidR="00725052" w:rsidRPr="00627C23" w:rsidRDefault="00725052" w:rsidP="00627C23">
      <w:pPr>
        <w:spacing w:before="0" w:line="240" w:lineRule="atLeast"/>
        <w:rPr>
          <w:color w:val="000000" w:themeColor="text1"/>
        </w:rPr>
      </w:pPr>
      <w:r w:rsidRPr="00455A3C">
        <w:rPr>
          <w:b/>
        </w:rPr>
        <w:lastRenderedPageBreak/>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11A0350D" w14:textId="4E642FB9" w:rsidR="008A114F" w:rsidRPr="00EB0AE8" w:rsidRDefault="00D404D5" w:rsidP="00EB0AE8">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xml:space="preserve">, ani nabídku ke koupi, prodeji nebo výzvu k nabídce ke koupi nebo prodeji jakýchkoli </w:t>
      </w:r>
      <w:r>
        <w:lastRenderedPageBreak/>
        <w:t>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16A359F5" w:rsidR="00B42703" w:rsidRPr="000E0C24" w:rsidRDefault="00FF7481" w:rsidP="000E0C24">
      <w:pPr>
        <w:pStyle w:val="F2-zkladn"/>
      </w:pPr>
      <w:r w:rsidRPr="00FF7481">
        <w:t>MKAT11444</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B4EE" w14:textId="77777777" w:rsidR="002C7913" w:rsidRDefault="002C7913">
      <w:r>
        <w:separator/>
      </w:r>
    </w:p>
  </w:endnote>
  <w:endnote w:type="continuationSeparator" w:id="0">
    <w:p w14:paraId="655971FB" w14:textId="77777777" w:rsidR="002C7913" w:rsidRDefault="002C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1BA9" w14:textId="77777777" w:rsidR="002C7913" w:rsidRDefault="002C7913">
      <w:r>
        <w:separator/>
      </w:r>
    </w:p>
  </w:footnote>
  <w:footnote w:type="continuationSeparator" w:id="0">
    <w:p w14:paraId="3F316C06" w14:textId="77777777" w:rsidR="002C7913" w:rsidRDefault="002C7913">
      <w:r>
        <w:continuationSeparator/>
      </w:r>
    </w:p>
  </w:footnote>
  <w:footnote w:type="continuationNotice" w:id="1">
    <w:p w14:paraId="269AAE90" w14:textId="77777777" w:rsidR="002C7913" w:rsidRDefault="002C79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38C"/>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1992"/>
    <w:rsid w:val="00632705"/>
    <w:rsid w:val="00640475"/>
    <w:rsid w:val="006404A9"/>
    <w:rsid w:val="006419BA"/>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3DC"/>
    <w:rsid w:val="008936B3"/>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1287</Words>
  <Characters>7596</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8866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2023-05-31T15:04:00Z</dcterms:created>
  <dcterms:modified xsi:type="dcterms:W3CDTF">2023-06-01T08:28:00Z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